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Vážená paní předsedkyně,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navazuji na Vaše e-maily a naše posouzení. Děkujeme Vám za zaslání všech podkladů a dokumentů.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Shrnutí, které jsme Vám zaslali, bylo nezbytné, aby výbor SVJ měl potřebný dokument k posouzení a jednal s nezbytnou péčí řádného hospodáře. Shrnutí a jeho jednotlivé body lze využít pro případné dotazy členů SVJ.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 xml:space="preserve">Na závěrech a doporučení, které jsme formulovali v posouzení </w:t>
      </w:r>
      <w:proofErr w:type="gramStart"/>
      <w:r w:rsidRPr="0062591C">
        <w:rPr>
          <w:rFonts w:ascii="Calibri" w:eastAsia="Times New Roman" w:hAnsi="Calibri" w:cs="Calibri"/>
          <w:color w:val="000000"/>
          <w:lang w:eastAsia="cs-CZ"/>
        </w:rPr>
        <w:t>se ani</w:t>
      </w:r>
      <w:proofErr w:type="gramEnd"/>
      <w:r w:rsidRPr="0062591C">
        <w:rPr>
          <w:rFonts w:ascii="Calibri" w:eastAsia="Times New Roman" w:hAnsi="Calibri" w:cs="Calibri"/>
          <w:color w:val="000000"/>
          <w:lang w:eastAsia="cs-CZ"/>
        </w:rPr>
        <w:t xml:space="preserve"> po doručení doplňujících podkladů nic nemění.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Jinými slovy:</w:t>
      </w:r>
    </w:p>
    <w:p w:rsidR="0062591C" w:rsidRPr="0062591C" w:rsidRDefault="0062591C" w:rsidP="0062591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Poskytnutá </w:t>
      </w:r>
      <w:r w:rsidRPr="0062591C">
        <w:rPr>
          <w:rFonts w:ascii="Calibri" w:eastAsia="Times New Roman" w:hAnsi="Calibri" w:cs="Calibri"/>
          <w:b/>
          <w:bCs/>
          <w:color w:val="000000"/>
          <w:lang w:eastAsia="cs-CZ"/>
        </w:rPr>
        <w:t>záruka za jakost</w:t>
      </w:r>
      <w:r w:rsidRPr="0062591C">
        <w:rPr>
          <w:rFonts w:ascii="Calibri" w:eastAsia="Times New Roman" w:hAnsi="Calibri" w:cs="Calibri"/>
          <w:color w:val="000000"/>
          <w:lang w:eastAsia="cs-CZ"/>
        </w:rPr>
        <w:t> uplynula a nelze ji uplatnit.</w:t>
      </w:r>
    </w:p>
    <w:p w:rsidR="0062591C" w:rsidRPr="0062591C" w:rsidRDefault="0062591C" w:rsidP="0062591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Lze uvažovat o uplatnění </w:t>
      </w:r>
      <w:r w:rsidRPr="0062591C">
        <w:rPr>
          <w:rFonts w:ascii="Calibri" w:eastAsia="Times New Roman" w:hAnsi="Calibri" w:cs="Calibri"/>
          <w:b/>
          <w:bCs/>
          <w:color w:val="000000"/>
          <w:lang w:eastAsia="cs-CZ"/>
        </w:rPr>
        <w:t>práva z vadného plnění</w:t>
      </w:r>
      <w:r w:rsidRPr="0062591C">
        <w:rPr>
          <w:rFonts w:ascii="Calibri" w:eastAsia="Times New Roman" w:hAnsi="Calibri" w:cs="Calibri"/>
          <w:color w:val="000000"/>
          <w:lang w:eastAsia="cs-CZ"/>
        </w:rPr>
        <w:t> za pana Svobodu. Ze smlouvy, kterou nám zaslal pan Svoboda, vyplývá, že na něj přešla veškerá práva, která měli manželé Máslovi, tedy bylo by možné uvažovat i o převodu práva z vadného plnění podle § 2129 odst. 2 zák. č. 89/2012 Sb., občanský zákoník. Avšak základní právní nejistotou v tomto případě je, že pan Svoboda nabyl podíl na jednotce jako jeden ze spoluvlastníků garáží. Z tohoto důvodu bychom Vám nedoporučili podání žaloby k soudu, jak jsme uváděli v posouzení.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Ze znaleckého posudku z roku 2016 (str. 27 až 33) rovněž vyplývá, že v případě společných garáží je většina vad v důsledku vadného provedení zhotovitele. Jedná se tedy o tzv. skryté vady, které lze podle § 2129 odst. 2 OZ vytknout, jelikož zde byly již v době přechodu nebezpečí na škodu.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Doporučujeme tak zvážit společně s členy výboru SVJ uplatnění </w:t>
      </w:r>
      <w:r w:rsidRPr="0062591C">
        <w:rPr>
          <w:rFonts w:ascii="Calibri" w:eastAsia="Times New Roman" w:hAnsi="Calibri" w:cs="Calibri"/>
          <w:b/>
          <w:bCs/>
          <w:color w:val="000000"/>
          <w:lang w:eastAsia="cs-CZ"/>
        </w:rPr>
        <w:t>práva z vadného plnění</w:t>
      </w:r>
      <w:r w:rsidRPr="0062591C">
        <w:rPr>
          <w:rFonts w:ascii="Calibri" w:eastAsia="Times New Roman" w:hAnsi="Calibri" w:cs="Calibri"/>
          <w:color w:val="000000"/>
          <w:lang w:eastAsia="cs-CZ"/>
        </w:rPr>
        <w:t xml:space="preserve">. Přípisy bychom doporučili zaslat, jak společnosti </w:t>
      </w:r>
      <w:proofErr w:type="spellStart"/>
      <w:r w:rsidRPr="0062591C">
        <w:rPr>
          <w:rFonts w:ascii="Calibri" w:eastAsia="Times New Roman" w:hAnsi="Calibri" w:cs="Calibri"/>
          <w:color w:val="000000"/>
          <w:lang w:eastAsia="cs-CZ"/>
        </w:rPr>
        <w:t>Meander</w:t>
      </w:r>
      <w:proofErr w:type="spellEnd"/>
      <w:r w:rsidRPr="0062591C">
        <w:rPr>
          <w:rFonts w:ascii="Calibri" w:eastAsia="Times New Roman" w:hAnsi="Calibri" w:cs="Calibri"/>
          <w:color w:val="000000"/>
          <w:lang w:eastAsia="cs-CZ"/>
        </w:rPr>
        <w:t xml:space="preserve"> </w:t>
      </w:r>
      <w:proofErr w:type="spellStart"/>
      <w:r w:rsidRPr="0062591C">
        <w:rPr>
          <w:rFonts w:ascii="Calibri" w:eastAsia="Times New Roman" w:hAnsi="Calibri" w:cs="Calibri"/>
          <w:color w:val="000000"/>
          <w:lang w:eastAsia="cs-CZ"/>
        </w:rPr>
        <w:t>Properties</w:t>
      </w:r>
      <w:proofErr w:type="spellEnd"/>
      <w:r w:rsidRPr="0062591C">
        <w:rPr>
          <w:rFonts w:ascii="Calibri" w:eastAsia="Times New Roman" w:hAnsi="Calibri" w:cs="Calibri"/>
          <w:color w:val="000000"/>
          <w:lang w:eastAsia="cs-CZ"/>
        </w:rPr>
        <w:t xml:space="preserve"> s.r.o., tak společnosti IMOS Brno a.s. a společnosti IKON spol. s.r.o., jelikož máme pouze jeden pokus k uplatnění vad. K uplatnění bude nutné zajistit souhlas pana Svobody, jelikož jej bude SVJ zastupovat.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Postup v případě uplatnění vad bude, sepsat dopisy společnostem s výčtem vad a s návrhem řešení (odstranění vad s opravou věci).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V případě, že společnosti nevyhoví Vašemu požadavku, nedoporučujeme podání žaloby k soudu z důvodu nákladnosti takového řízení a jeho nejistého výsledku (viz důvody uvedené v posouzení a výše).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Dostaneme-li pokyn k přípravě dopisu, jsme připraveni jej bez zbytečných průtahů zformulovat.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 </w:t>
      </w:r>
    </w:p>
    <w:p w:rsidR="0062591C" w:rsidRPr="0062591C" w:rsidRDefault="0062591C" w:rsidP="006259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62591C">
        <w:rPr>
          <w:rFonts w:ascii="Calibri" w:eastAsia="Times New Roman" w:hAnsi="Calibri" w:cs="Calibri"/>
          <w:color w:val="000000"/>
          <w:lang w:eastAsia="cs-CZ"/>
        </w:rPr>
        <w:t>S přáním pěkného dne</w:t>
      </w:r>
    </w:p>
    <w:tbl>
      <w:tblPr>
        <w:tblW w:w="9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2591C" w:rsidRPr="0062591C" w:rsidTr="0062591C">
        <w:tc>
          <w:tcPr>
            <w:tcW w:w="9000" w:type="dxa"/>
            <w:shd w:val="clear" w:color="auto" w:fill="FFFFFF"/>
            <w:hideMark/>
          </w:tcPr>
          <w:p w:rsidR="0062591C" w:rsidRPr="0062591C" w:rsidRDefault="0062591C" w:rsidP="0062591C">
            <w:pPr>
              <w:spacing w:after="0" w:line="252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259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  <w:tbl>
            <w:tblPr>
              <w:tblW w:w="881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19"/>
              <w:gridCol w:w="56"/>
              <w:gridCol w:w="7297"/>
            </w:tblGrid>
            <w:tr w:rsidR="0062591C" w:rsidRPr="0062591C">
              <w:trPr>
                <w:trHeight w:val="142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300" w:type="dxa"/>
                  </w:tcMar>
                  <w:hideMark/>
                </w:tcPr>
                <w:p w:rsidR="0062591C" w:rsidRPr="0062591C" w:rsidRDefault="0062591C" w:rsidP="0062591C">
                  <w:pPr>
                    <w:spacing w:after="0" w:line="252" w:lineRule="atLeast"/>
                    <w:rPr>
                      <w:rFonts w:ascii="Calibri" w:eastAsia="Times New Roman" w:hAnsi="Calibri" w:cs="Calibri"/>
                      <w:lang w:eastAsia="cs-CZ"/>
                    </w:rPr>
                  </w:pPr>
                  <w:r w:rsidRPr="0062591C">
                    <w:rPr>
                      <w:rFonts w:ascii="Calibri" w:eastAsia="Times New Roman" w:hAnsi="Calibri" w:cs="Calibri"/>
                      <w:noProof/>
                      <w:sz w:val="24"/>
                      <w:szCs w:val="24"/>
                      <w:lang w:eastAsia="cs-CZ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1187450" cy="889000"/>
                            <wp:effectExtent l="0" t="0" r="0" b="0"/>
                            <wp:docPr id="1" name="Obdélník 1" descr="https://email.seznam.cz/download/j/MsyTwRgNFQccbBG5SsA2Zl_4yeNbHWt8YHb1spOhnclu7QKUV59dukIxhDtOvZDHa0mcUyU/image00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87450" cy="889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17D3BDA" id="Obdélník 1" o:spid="_x0000_s1026" alt="https://email.seznam.cz/download/j/MsyTwRgNFQccbBG5SsA2Zl_4yeNbHWt8YHb1spOhnclu7QKUV59dukIxhDtOvZDHa0mcUyU/image001.png" style="width:93.5pt;height:7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8" w:space="0" w:color="BFBFBF"/>
                    <w:bottom w:val="nil"/>
                    <w:right w:val="nil"/>
                  </w:tcBorders>
                  <w:hideMark/>
                </w:tcPr>
                <w:p w:rsidR="0062591C" w:rsidRPr="0062591C" w:rsidRDefault="0062591C" w:rsidP="0062591C">
                  <w:pPr>
                    <w:spacing w:after="0" w:line="252" w:lineRule="atLeast"/>
                    <w:rPr>
                      <w:rFonts w:ascii="Calibri" w:eastAsia="Times New Roman" w:hAnsi="Calibri" w:cs="Calibri"/>
                      <w:lang w:eastAsia="cs-CZ"/>
                    </w:rPr>
                  </w:pPr>
                  <w:r w:rsidRPr="0062591C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4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3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00"/>
                  </w:tblGrid>
                  <w:tr w:rsidR="0062591C" w:rsidRPr="0062591C">
                    <w:trPr>
                      <w:trHeight w:val="276"/>
                      <w:tblCellSpacing w:w="0" w:type="dxa"/>
                    </w:trPr>
                    <w:tc>
                      <w:tcPr>
                        <w:tcW w:w="9300" w:type="dxa"/>
                        <w:vAlign w:val="center"/>
                        <w:hideMark/>
                      </w:tcPr>
                      <w:p w:rsidR="0062591C" w:rsidRPr="0062591C" w:rsidRDefault="0062591C" w:rsidP="0062591C">
                        <w:pPr>
                          <w:spacing w:after="0" w:line="231" w:lineRule="atLeast"/>
                          <w:rPr>
                            <w:rFonts w:ascii="Calibri" w:eastAsia="Times New Roman" w:hAnsi="Calibri" w:cs="Calibri"/>
                            <w:lang w:eastAsia="cs-CZ"/>
                          </w:rPr>
                        </w:pPr>
                        <w:r w:rsidRPr="0062591C">
                          <w:rPr>
                            <w:rFonts w:ascii="Arial" w:eastAsia="Times New Roman" w:hAnsi="Arial" w:cs="Arial"/>
                            <w:b/>
                            <w:bCs/>
                            <w:color w:val="D51317"/>
                            <w:sz w:val="18"/>
                            <w:szCs w:val="18"/>
                            <w:lang w:eastAsia="cs-CZ"/>
                          </w:rPr>
                          <w:t>JAN KURNÍK</w:t>
                        </w:r>
                        <w:r w:rsidRPr="0062591C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cs-CZ"/>
                          </w:rPr>
                          <w:br/>
                          <w:t>asistent</w:t>
                        </w:r>
                      </w:p>
                    </w:tc>
                  </w:tr>
                </w:tbl>
                <w:p w:rsidR="0062591C" w:rsidRPr="0062591C" w:rsidRDefault="0062591C" w:rsidP="0062591C">
                  <w:pPr>
                    <w:spacing w:after="240" w:line="252" w:lineRule="atLeast"/>
                    <w:rPr>
                      <w:rFonts w:ascii="Calibri" w:eastAsia="Times New Roman" w:hAnsi="Calibri" w:cs="Calibri"/>
                      <w:lang w:eastAsia="cs-CZ"/>
                    </w:rPr>
                  </w:pPr>
                  <w:r w:rsidRPr="0062591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> </w:t>
                  </w:r>
                  <w:r w:rsidRPr="0062591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br/>
                  </w:r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advokátní kancelář JUDr. Jiřího Janouška, advokáta </w:t>
                  </w:r>
                  <w:r w:rsidRPr="0062591C">
                    <w:rPr>
                      <w:rFonts w:ascii="Arial" w:eastAsia="Times New Roman" w:hAnsi="Arial" w:cs="Arial"/>
                      <w:color w:val="7F7F7F"/>
                      <w:sz w:val="18"/>
                      <w:szCs w:val="18"/>
                      <w:lang w:eastAsia="cs-CZ"/>
                    </w:rPr>
                    <w:t>|</w:t>
                  </w:r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  <w:proofErr w:type="spellStart"/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Badeniho</w:t>
                  </w:r>
                  <w:proofErr w:type="spellEnd"/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 xml:space="preserve"> 291/3, 160 00 Praha 6</w:t>
                  </w:r>
                  <w:r w:rsidRPr="0062591C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– Hradčany</w:t>
                  </w:r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br/>
                    <w:t>T: +420 602 962 431 </w:t>
                  </w:r>
                  <w:r w:rsidRPr="0062591C">
                    <w:rPr>
                      <w:rFonts w:ascii="Arial" w:eastAsia="Times New Roman" w:hAnsi="Arial" w:cs="Arial"/>
                      <w:color w:val="7F7F7F"/>
                      <w:sz w:val="18"/>
                      <w:szCs w:val="18"/>
                      <w:lang w:eastAsia="cs-CZ"/>
                    </w:rPr>
                    <w:t>|</w:t>
                  </w:r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E: </w:t>
                  </w:r>
                  <w:hyperlink r:id="rId5" w:tgtFrame="_blank" w:history="1">
                    <w:r w:rsidRPr="0062591C">
                      <w:rPr>
                        <w:rFonts w:ascii="Arial" w:eastAsia="Times New Roman" w:hAnsi="Arial" w:cs="Arial"/>
                        <w:color w:val="000000"/>
                        <w:sz w:val="18"/>
                        <w:szCs w:val="18"/>
                        <w:u w:val="single"/>
                        <w:lang w:eastAsia="cs-CZ"/>
                      </w:rPr>
                      <w:t>jan.kurnik@janousekadvokat.cz</w:t>
                    </w:r>
                  </w:hyperlink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u w:val="single"/>
                      <w:lang w:eastAsia="cs-CZ"/>
                    </w:rPr>
                    <w:br/>
                  </w:r>
                  <w:hyperlink r:id="rId6" w:tgtFrame="_blank" w:history="1">
                    <w:r w:rsidRPr="0062591C">
                      <w:rPr>
                        <w:rFonts w:ascii="Arial" w:eastAsia="Times New Roman" w:hAnsi="Arial" w:cs="Arial"/>
                        <w:color w:val="000000"/>
                        <w:sz w:val="18"/>
                        <w:szCs w:val="18"/>
                        <w:u w:val="single"/>
                        <w:lang w:eastAsia="cs-CZ"/>
                      </w:rPr>
                      <w:t>www.janousekadvokat.cz</w:t>
                    </w:r>
                  </w:hyperlink>
                  <w:r w:rsidRPr="0062591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</w:tbl>
          <w:p w:rsidR="0062591C" w:rsidRPr="0062591C" w:rsidRDefault="0062591C" w:rsidP="006259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B170EB" w:rsidRDefault="0062591C">
      <w:bookmarkStart w:id="0" w:name="_GoBack"/>
      <w:bookmarkEnd w:id="0"/>
    </w:p>
    <w:sectPr w:rsidR="00B170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B4B21"/>
    <w:multiLevelType w:val="multilevel"/>
    <w:tmpl w:val="DF60F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1C"/>
    <w:rsid w:val="0062591C"/>
    <w:rsid w:val="00B467D9"/>
    <w:rsid w:val="00C7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55115-257B-47A1-BCB3-CB8AAAE1A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625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59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8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anousekadvokat.cz/" TargetMode="External"/><Relationship Id="rId5" Type="http://schemas.openxmlformats.org/officeDocument/2006/relationships/hyperlink" Target="mailto:jan.kurnik@janousekadvokat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Cholenska (DHL Supply Chain)</dc:creator>
  <cp:keywords/>
  <dc:description/>
  <cp:lastModifiedBy>Monika Cholenska (DHL Supply Chain)</cp:lastModifiedBy>
  <cp:revision>1</cp:revision>
  <dcterms:created xsi:type="dcterms:W3CDTF">2021-09-08T15:15:00Z</dcterms:created>
  <dcterms:modified xsi:type="dcterms:W3CDTF">2021-09-08T15:16:00Z</dcterms:modified>
</cp:coreProperties>
</file>